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7873" w14:textId="77777777" w:rsidR="00D36BD6" w:rsidRPr="00FF2C4E" w:rsidRDefault="00D36BD6" w:rsidP="00D36BD6">
      <w:pPr>
        <w:pBdr>
          <w:top w:val="single" w:sz="4" w:space="1" w:color="auto"/>
          <w:left w:val="single" w:sz="4" w:space="4" w:color="auto"/>
          <w:bottom w:val="single" w:sz="4" w:space="1" w:color="auto"/>
          <w:right w:val="single" w:sz="4" w:space="4" w:color="auto"/>
        </w:pBdr>
        <w:jc w:val="center"/>
        <w:rPr>
          <w:rFonts w:ascii="Calibri" w:hAnsi="Calibri" w:cs="Calibri"/>
          <w:b/>
          <w:bCs/>
          <w:i/>
          <w:iCs/>
          <w:sz w:val="24"/>
          <w:szCs w:val="24"/>
        </w:rPr>
      </w:pPr>
      <w:r w:rsidRPr="00FF2C4E">
        <w:rPr>
          <w:rFonts w:ascii="Calibri" w:hAnsi="Calibri" w:cs="Calibri"/>
          <w:b/>
          <w:bCs/>
          <w:i/>
          <w:iCs/>
          <w:sz w:val="24"/>
          <w:szCs w:val="24"/>
        </w:rPr>
        <w:t xml:space="preserve">Article Alternatives Economiques, </w:t>
      </w:r>
      <w:r w:rsidRPr="00D36BD6">
        <w:rPr>
          <w:rFonts w:ascii="Calibri" w:hAnsi="Calibri" w:cs="Calibri"/>
          <w:b/>
          <w:bCs/>
          <w:i/>
          <w:iCs/>
          <w:color w:val="0070C0"/>
          <w:sz w:val="24"/>
          <w:szCs w:val="24"/>
        </w:rPr>
        <w:t>février 2025 </w:t>
      </w:r>
      <w:r w:rsidRPr="00FF2C4E">
        <w:rPr>
          <w:rFonts w:ascii="Calibri" w:hAnsi="Calibri" w:cs="Calibri"/>
          <w:b/>
          <w:bCs/>
          <w:i/>
          <w:iCs/>
          <w:sz w:val="24"/>
          <w:szCs w:val="24"/>
        </w:rPr>
        <w:t>: USA et protectionnisme</w:t>
      </w:r>
    </w:p>
    <w:p w14:paraId="156DADFE" w14:textId="77777777" w:rsidR="00D36BD6" w:rsidRPr="00237E57" w:rsidRDefault="00D36BD6" w:rsidP="00D36BD6">
      <w:pPr>
        <w:jc w:val="both"/>
        <w:rPr>
          <w:b/>
          <w:bCs/>
        </w:rPr>
      </w:pPr>
      <w:r w:rsidRPr="00D23DE0">
        <w:rPr>
          <w:b/>
          <w:bCs/>
        </w:rPr>
        <w:t>Par sa volonté de rehausser tous azimuts les taxes sur les importations, Donald Trump relance les tensions commerciales qu’il avait déjà exacerbées lors de son premier mandat. Avec le risque d’enclencher une escalade.</w:t>
      </w:r>
    </w:p>
    <w:p w14:paraId="2BB8B76D" w14:textId="77777777" w:rsidR="00D36BD6" w:rsidRPr="00D23DE0" w:rsidRDefault="00D36BD6" w:rsidP="00D36BD6">
      <w:pPr>
        <w:jc w:val="both"/>
      </w:pPr>
      <w:r w:rsidRPr="00D23DE0">
        <w:t>«</w:t>
      </w:r>
      <w:r w:rsidRPr="00D23DE0">
        <w:rPr>
          <w:i/>
          <w:iCs/>
        </w:rPr>
        <w:t> </w:t>
      </w:r>
      <w:r w:rsidRPr="00D36BD6">
        <w:rPr>
          <w:i/>
          <w:iCs/>
          <w:color w:val="0070C0"/>
        </w:rPr>
        <w:t>Je vais commencer immédiatement le remaniement de notre système commercial pour protéger les travailleurs et les familles américaines </w:t>
      </w:r>
      <w:r w:rsidRPr="00D23DE0">
        <w:rPr>
          <w:i/>
          <w:iCs/>
        </w:rPr>
        <w:t>»</w:t>
      </w:r>
      <w:r w:rsidRPr="00D23DE0">
        <w:t>, a prévenu Donald Trump le 20 janvier, lors de son discours d’investiture. </w:t>
      </w:r>
      <w:r w:rsidRPr="00D23DE0">
        <w:rPr>
          <w:i/>
          <w:iCs/>
        </w:rPr>
        <w:t>« Au lieu de taxer nos citoyens pour enrichir d’autres pays, nous imposerons des droits de douane et des taxes aux pays étrangers pour enrichir nos citoyens »</w:t>
      </w:r>
      <w:r w:rsidRPr="00D23DE0">
        <w:t>, a-t-il ajouté, avant de rendre hommage à son lointain prédécesseur, le 25</w:t>
      </w:r>
      <w:r w:rsidRPr="00D23DE0">
        <w:rPr>
          <w:vertAlign w:val="superscript"/>
        </w:rPr>
        <w:t>e</w:t>
      </w:r>
      <w:r w:rsidRPr="00D23DE0">
        <w:t> président des Etats-Unis William McKinley (1897-1901), un champion du protectionnisme en son temps.</w:t>
      </w:r>
    </w:p>
    <w:p w14:paraId="68619561" w14:textId="77777777" w:rsidR="00D36BD6" w:rsidRPr="00D23DE0" w:rsidRDefault="00D36BD6" w:rsidP="00D36BD6">
      <w:pPr>
        <w:jc w:val="both"/>
      </w:pPr>
      <w:r w:rsidRPr="00D23DE0">
        <w:t>Donald Trump avait à peine retrouvé le bureau ovale qu’il confirmait que les importations en provenance du Canada et du Mexique se verraient appliquer des droits de douane de 25 %, et ce dès le 1</w:t>
      </w:r>
      <w:r w:rsidRPr="00D23DE0">
        <w:rPr>
          <w:vertAlign w:val="superscript"/>
        </w:rPr>
        <w:t>er</w:t>
      </w:r>
      <w:r w:rsidRPr="00D23DE0">
        <w:t> février. Les produits chinois pâtiront quant à eux d’un supplément de 10 %, alors que durant sa campagne, le futur Président avait maintes fois promis de porter leur taxation à 60 %. A l’heure où nous mettons ce numéro sous presse, l’avalanche de décrets présidentiels signés par Trump ne contient cependant aucune décision concrète dans ce domaine. Le 47</w:t>
      </w:r>
      <w:r w:rsidRPr="00D23DE0">
        <w:rPr>
          <w:vertAlign w:val="superscript"/>
        </w:rPr>
        <w:t>e</w:t>
      </w:r>
      <w:r w:rsidRPr="00D23DE0">
        <w:t> président américain a choisi de commander dans un premier temps à plusieurs agences fédérales une vaste étude sur les relations commerciales des Etats-Unis et décidé de la création de l’</w:t>
      </w:r>
      <w:proofErr w:type="spellStart"/>
      <w:r w:rsidRPr="00D23DE0">
        <w:t>External</w:t>
      </w:r>
      <w:proofErr w:type="spellEnd"/>
      <w:r w:rsidRPr="00D23DE0">
        <w:t xml:space="preserve"> Revenue Service, agence destinée à collecter les droits de douane. Reporté donc jusqu’au 1</w:t>
      </w:r>
      <w:r w:rsidRPr="00D23DE0">
        <w:rPr>
          <w:vertAlign w:val="superscript"/>
        </w:rPr>
        <w:t>er</w:t>
      </w:r>
      <w:r w:rsidRPr="00D23DE0">
        <w:t xml:space="preserve"> avril au moins le projet de taxer </w:t>
      </w:r>
      <w:proofErr w:type="gramStart"/>
      <w:r w:rsidRPr="00D23DE0">
        <w:t>a</w:t>
      </w:r>
      <w:proofErr w:type="gramEnd"/>
      <w:r w:rsidRPr="00D23DE0">
        <w:t xml:space="preserve"> minima de 10 % ou 20 % l’ensemble des produits entrant sur le territoire américain. Manière peut-être d’asseoir juridiquement de futures décisions susceptibles d’être contestées devant les tribunaux.</w:t>
      </w:r>
    </w:p>
    <w:p w14:paraId="02ACA0B4" w14:textId="77777777" w:rsidR="00D36BD6" w:rsidRPr="00D23DE0" w:rsidRDefault="00D36BD6" w:rsidP="00D36BD6">
      <w:pPr>
        <w:jc w:val="both"/>
        <w:rPr>
          <w:b/>
          <w:bCs/>
        </w:rPr>
      </w:pPr>
      <w:r w:rsidRPr="00D23DE0">
        <w:rPr>
          <w:b/>
          <w:bCs/>
        </w:rPr>
        <w:t>« Couteau suisse »</w:t>
      </w:r>
    </w:p>
    <w:p w14:paraId="339DD389" w14:textId="77777777" w:rsidR="00D36BD6" w:rsidRPr="00D23DE0" w:rsidRDefault="00D36BD6" w:rsidP="00D36BD6">
      <w:pPr>
        <w:jc w:val="both"/>
      </w:pPr>
      <w:r w:rsidRPr="00D23DE0">
        <w:rPr>
          <w:i/>
          <w:iCs/>
        </w:rPr>
        <w:t>« Les droits de douane sont pour Trump une sorte de couteau suisse</w:t>
      </w:r>
      <w:r w:rsidRPr="00D23DE0">
        <w:t>, observe Isabelle Bensidoun, adjointe au directeur du Centre d’études prospectives et d’informations internationales (</w:t>
      </w:r>
      <w:proofErr w:type="spellStart"/>
      <w:r w:rsidRPr="00D23DE0">
        <w:t>Cépii</w:t>
      </w:r>
      <w:proofErr w:type="spellEnd"/>
      <w:r w:rsidRPr="00D23DE0">
        <w:t>). </w:t>
      </w:r>
      <w:r w:rsidRPr="00D23DE0">
        <w:rPr>
          <w:i/>
          <w:iCs/>
        </w:rPr>
        <w:t>Ils servent à tout : baisser le déficit commercial, augmenter la compétitivité, l’investissement, l’innovation des entreprises américaines, créer des emplois, renforcer la classe moyenne… et même réduire l’immigration ou lutter contre le trafic de drogue, puisque les 25 % de droits de douane dont il menace le Canada et le Mexique sont destinés à obtenir d’eux qu’ils sécurisent leurs frontières. »</w:t>
      </w:r>
    </w:p>
    <w:p w14:paraId="48C906D0" w14:textId="77777777" w:rsidR="00D36BD6" w:rsidRPr="00D23DE0" w:rsidRDefault="00D36BD6" w:rsidP="00D36BD6">
      <w:pPr>
        <w:jc w:val="both"/>
      </w:pPr>
      <w:r w:rsidRPr="00D23DE0">
        <w:t xml:space="preserve">Trump a aussi agité cette menace vis-à-vis des pays membres des </w:t>
      </w:r>
      <w:proofErr w:type="spellStart"/>
      <w:r w:rsidRPr="00D23DE0">
        <w:t>Brics</w:t>
      </w:r>
      <w:proofErr w:type="spellEnd"/>
      <w:r w:rsidRPr="00D23DE0">
        <w:t xml:space="preserve"> (Brésil, Russie, Inde, Chine, Afrique du Sud), afin qu’ils renoncent à leur projet de nouvelle monnaie pour remplacer le dollar dans les échanges internationaux, ou encore à l’égard du Danemark pour qu’il cède au gouvernement américain le Groenland. Enfin, grâce aux recettes fiscales que les droits de douane rapporteront, il escompte que des </w:t>
      </w:r>
      <w:r w:rsidRPr="00D23DE0">
        <w:rPr>
          <w:i/>
          <w:iCs/>
        </w:rPr>
        <w:t>« montants massifs d’argent seront reversés</w:t>
      </w:r>
      <w:r w:rsidRPr="00D23DE0">
        <w:t> [au] </w:t>
      </w:r>
      <w:r w:rsidRPr="00D23DE0">
        <w:rPr>
          <w:i/>
          <w:iCs/>
        </w:rPr>
        <w:t>Trésor public »</w:t>
      </w:r>
      <w:r w:rsidRPr="00D23DE0">
        <w:t>. De quoi, argue-t-il, pallier la reconduction des baisses d’impôts mises en place sous son premier mandat, même si les ordres de grandeur sont bien différents, voire, plus irréaliste encore, financer la suppression de l’impôt sur le revenu… ou une aide aux ménages confrontés au coût mirobolant d’une garde d’enfant !</w:t>
      </w:r>
    </w:p>
    <w:p w14:paraId="63173473" w14:textId="77777777" w:rsidR="00D36BD6" w:rsidRPr="00D23DE0" w:rsidRDefault="00D36BD6" w:rsidP="00D36BD6">
      <w:pPr>
        <w:jc w:val="both"/>
      </w:pPr>
      <w:r w:rsidRPr="00D23DE0">
        <w:t>Donald Trump semble donc prêt à rejouer – en grand – la guerre commerciale qu’il avait commencée lors de son premier mandat. En 2018, il avait en effet augmenté les droits de douane de 25 % sur l’acier et de 10 % sur l’aluminium, ouvrant la voie à des mesures de rétorsion de la part de ses partenaires commerciaux. Avant de viser spécifiquement la Chine et de taxer par salves successives des volumes croissants de produits importés depuis l’empire du Milieu.</w:t>
      </w:r>
    </w:p>
    <w:p w14:paraId="0C440648" w14:textId="77777777" w:rsidR="00D36BD6" w:rsidRPr="00D23DE0" w:rsidRDefault="00D36BD6" w:rsidP="00D36BD6">
      <w:pPr>
        <w:jc w:val="both"/>
      </w:pPr>
      <w:r w:rsidRPr="00D23DE0">
        <w:t>Lorsqu’il a intégré le bureau ovale en 2021, Joe Biden a calmé le jeu avec les alliés occidentaux du pays. Mais il n’est pas revenu sur l’essentiel des augmentations de droits de douane décidées par son prédécesseur sur les produits chinois. Et il a lui aussi manié ce bâton au printemps dernier, mais de manière plus ciblée. 18 milliards de produits chinois ont ainsi vu leur taxation augmenter dans l’acier et l’aluminium, les semi-conducteurs, les batteries, les cellules photovoltaïques ou les véhicules électriques. Pour ces derniers, les droits de douane ont même été portés de 25 à 100 %.</w:t>
      </w:r>
    </w:p>
    <w:p w14:paraId="28B1BE37" w14:textId="77777777" w:rsidR="00D36BD6" w:rsidRPr="00D23DE0" w:rsidRDefault="00D36BD6" w:rsidP="00D36BD6">
      <w:pPr>
        <w:jc w:val="both"/>
      </w:pPr>
      <w:r w:rsidRPr="00D23DE0">
        <w:lastRenderedPageBreak/>
        <w:t>Les Etats-Unis ne sont pas les seuls à s’inquiéter du déferlement des produits chinois à bas prix. En octobre dernier, la Commission européenne s’est résolue à surtaxer jusqu’à 35,3 % les véhicules électriques fabriqués en Chine, en plus des 10 % déjà appliqués à ces importations. Les pays émergents érigent eux aussi des barrières tarifaires contre l’empire du Milieu. Et d’abord ses voisins asiatiques, tels l’Indonésie qui, en réponse à des manifestations d’ouvriers, a décidé l’été dernier de porter à 200 % les droits de douane sur le textile, l’habillement et l’électronique chinois pour protéger ses industries nationales. Le Brésil et le Chili surtaxent depuis le printemps 2024 l’acier chinois pour protéger leurs entreprises locales.</w:t>
      </w:r>
    </w:p>
    <w:p w14:paraId="45DB1773" w14:textId="77777777" w:rsidR="00D36BD6" w:rsidRPr="00D23DE0" w:rsidRDefault="00D36BD6" w:rsidP="00D36BD6">
      <w:pPr>
        <w:jc w:val="both"/>
        <w:rPr>
          <w:b/>
          <w:bCs/>
        </w:rPr>
      </w:pPr>
      <w:r w:rsidRPr="00D23DE0">
        <w:rPr>
          <w:b/>
          <w:bCs/>
        </w:rPr>
        <w:t>Des restrictions sur les exportations renforcées sous Biden</w:t>
      </w:r>
    </w:p>
    <w:p w14:paraId="011F7DF5" w14:textId="77777777" w:rsidR="00D36BD6" w:rsidRPr="00D23DE0" w:rsidRDefault="00D36BD6" w:rsidP="00D36BD6">
      <w:pPr>
        <w:jc w:val="both"/>
      </w:pPr>
      <w:r w:rsidRPr="00D23DE0">
        <w:t>Le mouvement de repli ne date donc pas d’hier. </w:t>
      </w:r>
      <w:r w:rsidRPr="00D23DE0">
        <w:rPr>
          <w:i/>
          <w:iCs/>
        </w:rPr>
        <w:t>« La crise financière de 2008 a ouvert une période de doute sur les bienfaits de la mondialisation</w:t>
      </w:r>
      <w:r w:rsidRPr="00D23DE0">
        <w:t>, analyse Isabelle Bensidoun. </w:t>
      </w:r>
      <w:r w:rsidRPr="00D23DE0">
        <w:rPr>
          <w:i/>
          <w:iCs/>
        </w:rPr>
        <w:t>Puis la crise du Covid, avec les pénuries de matériel sanitaire, et la guerre en Ukraine, avec les tensions sur les approvisionnements énergétiques, ont fait prendre conscience que les interdépendances étaient sources de vulnérabilité. Nous sommes entrés dans une nouvelle ère de la mondialisation, fondée sur une logique de sécurisation des flux commerciaux. »</w:t>
      </w:r>
    </w:p>
    <w:p w14:paraId="302FD80D" w14:textId="77777777" w:rsidR="00D36BD6" w:rsidRPr="00D23DE0" w:rsidRDefault="00D36BD6" w:rsidP="00D36BD6">
      <w:pPr>
        <w:jc w:val="both"/>
      </w:pPr>
      <w:r w:rsidRPr="00D23DE0">
        <w:t xml:space="preserve">L’administration Biden a embrassé ce changement d’ère, en mobilisant un large éventail d’outils protectionnistes au service de l’autonomie stratégique du pays. Outre le recours aux subventions avec l’Inflation Reduction </w:t>
      </w:r>
      <w:proofErr w:type="spellStart"/>
      <w:r w:rsidRPr="00D23DE0">
        <w:t>Act</w:t>
      </w:r>
      <w:proofErr w:type="spellEnd"/>
      <w:r w:rsidRPr="00D23DE0">
        <w:t xml:space="preserve"> (IRA) pour développer de nouvelles filières, elle a utilisé l’arme du contrôle des exportations. Donald Trump, lors de son premier mandat, avait ouvert le bal en faisant placer le géant chinois des télécoms Huawei sur la « liste noire » du département du Commerce, qui rassemble les entreprises à qui il est illégal pour une société américaine de fournir des biens et des services. Mais l’administration Biden a depuis copieusement allongé la liste et progressivement accru les restrictions sur les exportations des processeurs et puces américaines les plus avancés, utilisés notamment pour développer des modèles d’intelligence artificielle (IA), ainsi que sur les machines permettant de les fabriquer, enrôlant au passage le Japon et les Pays-Bas, mères patries d’acteurs clés du secteur</w:t>
      </w:r>
      <w:r w:rsidRPr="00D23DE0">
        <w:rPr>
          <w:rFonts w:ascii="Arial" w:hAnsi="Arial" w:cs="Arial"/>
        </w:rPr>
        <w:t> </w:t>
      </w:r>
      <w:hyperlink r:id="rId4" w:anchor="re1no1" w:history="1">
        <w:r w:rsidRPr="00D23DE0">
          <w:rPr>
            <w:rStyle w:val="Lienhypertexte"/>
            <w:b/>
            <w:bCs/>
          </w:rPr>
          <w:t>[1]</w:t>
        </w:r>
      </w:hyperlink>
      <w:r w:rsidRPr="00D23DE0">
        <w:t>. Avec pour objectif, dixit l’ex-secrétaire d’Etat au commerce Gina Raimondo, de </w:t>
      </w:r>
      <w:r w:rsidRPr="00D23DE0">
        <w:rPr>
          <w:i/>
          <w:iCs/>
        </w:rPr>
        <w:t>« compromettre la capacité de la République populaire de Chine à s’approprier la production de technologies représentant un risque pour notre sécurité nationale »</w:t>
      </w:r>
      <w:r w:rsidRPr="00D23DE0">
        <w:t>. De son côté, la Chine a répliqué en interdisant l’exportation vers les Etats-Unis de gallium, de germanium et d’antimoine, des minerais utilisés dans les technologies des semi-conducteurs et de la défense.</w:t>
      </w:r>
    </w:p>
    <w:p w14:paraId="36803F78" w14:textId="77777777" w:rsidR="00D36BD6" w:rsidRPr="00D23DE0" w:rsidRDefault="00D36BD6" w:rsidP="00D36BD6">
      <w:pPr>
        <w:jc w:val="both"/>
      </w:pPr>
      <w:r w:rsidRPr="00D23DE0">
        <w:t xml:space="preserve">Quelques jours avant l’investiture de Donald Trump, l’administration Biden a édicté des règles encore plus strictes, limitant en nombre les exportations de puces et processeurs graphiques américains, notamment celles du géant </w:t>
      </w:r>
      <w:proofErr w:type="spellStart"/>
      <w:r w:rsidRPr="00D23DE0">
        <w:t>Nvidia</w:t>
      </w:r>
      <w:proofErr w:type="spellEnd"/>
      <w:r w:rsidRPr="00D23DE0">
        <w:t>, à destination d’une liste de quelque 120 pays, dont des pays membres de l’UE. Seuls 18 pays alliés des Etats-Unis (au nombre desquels la France, l’Allemagne, le Canada et Taïwan) pourraient encore en acheter librement.</w:t>
      </w:r>
    </w:p>
    <w:p w14:paraId="710FAE47" w14:textId="77777777" w:rsidR="00D36BD6" w:rsidRPr="00D23DE0" w:rsidRDefault="00D36BD6" w:rsidP="00D36BD6">
      <w:pPr>
        <w:jc w:val="both"/>
      </w:pPr>
      <w:r w:rsidRPr="00D23DE0">
        <w:t>L’avenir dira si la nouvelle administration entérine ces règles. L’accent mis par Trump sur les droits de douane marque cependant un retour à un protectionnisme unidimensionnel, moins ciblé, et sans doute inefficace s’il ne s’appuie plus sur une politique industrielle comme l’IRA. </w:t>
      </w:r>
      <w:r w:rsidRPr="00D23DE0">
        <w:rPr>
          <w:i/>
          <w:iCs/>
        </w:rPr>
        <w:t>« La nouveauté de ces propositions réside dans l’universalité des droits de douane envisagés</w:t>
      </w:r>
      <w:r w:rsidRPr="00D23DE0">
        <w:t xml:space="preserve">, soulignent les économistes Antoine Bouët, Leysa Maty Sall et Yu Zheng dans une publication du </w:t>
      </w:r>
      <w:proofErr w:type="spellStart"/>
      <w:r w:rsidRPr="00D23DE0">
        <w:t>Cépii</w:t>
      </w:r>
      <w:proofErr w:type="spellEnd"/>
      <w:r w:rsidRPr="00D23DE0">
        <w:rPr>
          <w:rFonts w:ascii="Arial" w:hAnsi="Arial" w:cs="Arial"/>
        </w:rPr>
        <w:t> </w:t>
      </w:r>
      <w:hyperlink r:id="rId5" w:anchor="re2no2" w:history="1">
        <w:r w:rsidRPr="00D23DE0">
          <w:rPr>
            <w:rStyle w:val="Lienhypertexte"/>
            <w:b/>
            <w:bCs/>
          </w:rPr>
          <w:t>[2]</w:t>
        </w:r>
      </w:hyperlink>
      <w:r w:rsidRPr="00D23DE0">
        <w:t>. (…) </w:t>
      </w:r>
      <w:r w:rsidRPr="00D23DE0">
        <w:rPr>
          <w:i/>
          <w:iCs/>
        </w:rPr>
        <w:t>C’est un droit de douane sur tous les produits en provenance de tous les pays qui est envisagé. »</w:t>
      </w:r>
      <w:r w:rsidRPr="00D23DE0">
        <w:t> Sous Trump 1, en 2018-2019, au plus fort de la guerre commerciale, 380 milliards de dollars d’importations américaines avaient fait l’objet d’une hausse de droits de douane. En 2025, avec Trump 2, ce sont potentiellement les 3 100 milliards de dollars d’importations qui seraient concernés.</w:t>
      </w:r>
    </w:p>
    <w:p w14:paraId="019DCD7D" w14:textId="77777777" w:rsidR="00D36BD6" w:rsidRPr="00D23DE0" w:rsidRDefault="00D36BD6" w:rsidP="00D36BD6">
      <w:r>
        <w:t>(…)</w:t>
      </w:r>
    </w:p>
    <w:p w14:paraId="1DE0D2E9" w14:textId="77777777" w:rsidR="00D36BD6" w:rsidRPr="00D23DE0" w:rsidRDefault="00D36BD6" w:rsidP="00D36BD6">
      <w:r>
        <w:t xml:space="preserve">(…) </w:t>
      </w:r>
      <w:r w:rsidRPr="00D23DE0">
        <w:t>Source : Global Trade Alert</w:t>
      </w:r>
    </w:p>
    <w:p w14:paraId="65580E98" w14:textId="48A29141" w:rsidR="00745FF0" w:rsidRDefault="00D36BD6" w:rsidP="00D36BD6">
      <w:pPr>
        <w:jc w:val="both"/>
      </w:pPr>
      <w:r w:rsidRPr="00D23DE0">
        <w:t xml:space="preserve">La surenchère actuelle autour des droits de douane ne constitue que la partie émergée des tensions commerciales. Le site pro-libre-échange Global Trade Alert a dénombré près de 60 000 nouvelles mesures protectionnistes dans le monde depuis 2009 : seules 7 % d’entre elles ont trait aux droits de douane. A côté de ce qu’on appelle les « barrières non tarifaires » (restrictions à l’import ou à l’export, normes techniques et sanitaires, tracasseries administratives), la plupart de ces mesures prennent la forme de subventions. La Chine se voit souvent reprocher d’en abuser pour avantager son industrie par rapport à ses concurrentes. La décision </w:t>
      </w:r>
      <w:r w:rsidRPr="00D23DE0">
        <w:lastRenderedPageBreak/>
        <w:t>de l’Union européenne (UE) de taxer les véhicules électriques chinois, en octobre dernier, a d’ailleurs été prise au terme d’une enquête concluant à l’existence de </w:t>
      </w:r>
      <w:r w:rsidRPr="00D23DE0">
        <w:rPr>
          <w:i/>
          <w:iCs/>
        </w:rPr>
        <w:t>« subventions déloyales »</w:t>
      </w:r>
      <w:r w:rsidRPr="00D23DE0">
        <w:t xml:space="preserve"> accordées par les autorités chinoises. Washington, de son côté, reproche à Pékin le rôle joué par ses banques publiques dans le développement des surcapacités industrielles chinoises : alors qu’il représentait 83 milliards de dollars en 2019 avant la pandémie, le montant des prêts bancaires à l’industrie en Chine a en effet atteint 670 milliards en 2023. Mais les Etats-Unis n’ont guère hésité à user du même instrument sous la présidence Biden, notamment à travers son programme phare, l’Inflation Reduction </w:t>
      </w:r>
      <w:proofErr w:type="spellStart"/>
      <w:r w:rsidRPr="00D23DE0">
        <w:t>Act</w:t>
      </w:r>
      <w:proofErr w:type="spellEnd"/>
      <w:r w:rsidRPr="00D23DE0">
        <w:t xml:space="preserve"> (IRA), adopté en 2022 et qui prévoyait pour les technologies vertes américaines 369 milliards de dollars de subventions subordonnées à des clauses de contenu local. Des subventions aujourd’hui remises en cause par Donald Trump. Craignant de voir ses entreprises délocaliser leur production sur le sol américain, l’UE a à son tour dégainé un plan ambitieux pour booster son autonomie dans les technologies bas carbone, le Net-Zero </w:t>
      </w:r>
      <w:proofErr w:type="spellStart"/>
      <w:r w:rsidRPr="00D23DE0">
        <w:t>Industry</w:t>
      </w:r>
      <w:proofErr w:type="spellEnd"/>
      <w:r w:rsidRPr="00D23DE0">
        <w:t xml:space="preserve"> </w:t>
      </w:r>
      <w:proofErr w:type="spellStart"/>
      <w:r w:rsidRPr="00D23DE0">
        <w:t>Act</w:t>
      </w:r>
      <w:proofErr w:type="spellEnd"/>
      <w:r w:rsidRPr="00D23DE0">
        <w:t>. Mais, contrairement à l’IRA, celui-ci soutient seulement l’investissement, pas la production, et ne mobilise pas d’argent frais, ce qui devrait limiter son impact.</w:t>
      </w:r>
    </w:p>
    <w:sectPr w:rsidR="00745FF0" w:rsidSect="00D36B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BD6"/>
    <w:rsid w:val="00745FF0"/>
    <w:rsid w:val="00894ABC"/>
    <w:rsid w:val="00A93AAB"/>
    <w:rsid w:val="00B4222D"/>
    <w:rsid w:val="00D36BD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F49A"/>
  <w15:chartTrackingRefBased/>
  <w15:docId w15:val="{3BB76DE9-F48B-4AEE-BCB1-984B9D79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D6"/>
    <w:pPr>
      <w:spacing w:line="259" w:lineRule="auto"/>
    </w:pPr>
    <w:rPr>
      <w:sz w:val="22"/>
      <w:szCs w:val="22"/>
    </w:rPr>
  </w:style>
  <w:style w:type="paragraph" w:styleId="Titre1">
    <w:name w:val="heading 1"/>
    <w:basedOn w:val="Normal"/>
    <w:next w:val="Normal"/>
    <w:link w:val="Titre1Car"/>
    <w:uiPriority w:val="9"/>
    <w:qFormat/>
    <w:rsid w:val="00D36BD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6BD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6BD6"/>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6BD6"/>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D36BD6"/>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D36BD6"/>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D36BD6"/>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D36BD6"/>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D36BD6"/>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6B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6B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6B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6B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6B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6B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6B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6B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6BD6"/>
    <w:rPr>
      <w:rFonts w:eastAsiaTheme="majorEastAsia" w:cstheme="majorBidi"/>
      <w:color w:val="272727" w:themeColor="text1" w:themeTint="D8"/>
    </w:rPr>
  </w:style>
  <w:style w:type="paragraph" w:styleId="Titre">
    <w:name w:val="Title"/>
    <w:basedOn w:val="Normal"/>
    <w:next w:val="Normal"/>
    <w:link w:val="TitreCar"/>
    <w:uiPriority w:val="10"/>
    <w:qFormat/>
    <w:rsid w:val="00D36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6B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6BD6"/>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6B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6BD6"/>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D36BD6"/>
    <w:rPr>
      <w:i/>
      <w:iCs/>
      <w:color w:val="404040" w:themeColor="text1" w:themeTint="BF"/>
    </w:rPr>
  </w:style>
  <w:style w:type="paragraph" w:styleId="Paragraphedeliste">
    <w:name w:val="List Paragraph"/>
    <w:basedOn w:val="Normal"/>
    <w:uiPriority w:val="34"/>
    <w:qFormat/>
    <w:rsid w:val="00D36BD6"/>
    <w:pPr>
      <w:spacing w:line="278" w:lineRule="auto"/>
      <w:ind w:left="720"/>
      <w:contextualSpacing/>
    </w:pPr>
    <w:rPr>
      <w:sz w:val="24"/>
      <w:szCs w:val="24"/>
    </w:rPr>
  </w:style>
  <w:style w:type="character" w:styleId="Accentuationintense">
    <w:name w:val="Intense Emphasis"/>
    <w:basedOn w:val="Policepardfaut"/>
    <w:uiPriority w:val="21"/>
    <w:qFormat/>
    <w:rsid w:val="00D36BD6"/>
    <w:rPr>
      <w:i/>
      <w:iCs/>
      <w:color w:val="0F4761" w:themeColor="accent1" w:themeShade="BF"/>
    </w:rPr>
  </w:style>
  <w:style w:type="paragraph" w:styleId="Citationintense">
    <w:name w:val="Intense Quote"/>
    <w:basedOn w:val="Normal"/>
    <w:next w:val="Normal"/>
    <w:link w:val="CitationintenseCar"/>
    <w:uiPriority w:val="30"/>
    <w:qFormat/>
    <w:rsid w:val="00D36BD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D36BD6"/>
    <w:rPr>
      <w:i/>
      <w:iCs/>
      <w:color w:val="0F4761" w:themeColor="accent1" w:themeShade="BF"/>
    </w:rPr>
  </w:style>
  <w:style w:type="character" w:styleId="Rfrenceintense">
    <w:name w:val="Intense Reference"/>
    <w:basedOn w:val="Policepardfaut"/>
    <w:uiPriority w:val="32"/>
    <w:qFormat/>
    <w:rsid w:val="00D36BD6"/>
    <w:rPr>
      <w:b/>
      <w:bCs/>
      <w:smallCaps/>
      <w:color w:val="0F4761" w:themeColor="accent1" w:themeShade="BF"/>
      <w:spacing w:val="5"/>
    </w:rPr>
  </w:style>
  <w:style w:type="character" w:styleId="Lienhypertexte">
    <w:name w:val="Hyperlink"/>
    <w:basedOn w:val="Policepardfaut"/>
    <w:uiPriority w:val="99"/>
    <w:unhideWhenUsed/>
    <w:rsid w:val="00D36B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hs.cairn.info/magazine-alternatives-economiques-2025-2-page-26?lang=fr&amp;tab=texte-integral" TargetMode="External"/><Relationship Id="rId4" Type="http://schemas.openxmlformats.org/officeDocument/2006/relationships/hyperlink" Target="https://shs.cairn.info/magazine-alternatives-economiques-2025-2-page-26?lang=fr&amp;tab=texte-integr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1656</Words>
  <Characters>9113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Battistoni</dc:creator>
  <cp:keywords/>
  <dc:description/>
  <cp:lastModifiedBy>Cécile Battistoni</cp:lastModifiedBy>
  <cp:revision>1</cp:revision>
  <dcterms:created xsi:type="dcterms:W3CDTF">2026-03-30T07:33:00Z</dcterms:created>
  <dcterms:modified xsi:type="dcterms:W3CDTF">2026-03-30T07:54:00Z</dcterms:modified>
</cp:coreProperties>
</file>